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54" w:rsidRPr="002D1354" w:rsidRDefault="000919BC" w:rsidP="002D1354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</w:pPr>
      <w:r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>Modificari</w:t>
      </w:r>
      <w:proofErr w:type="spellEnd"/>
      <w:r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 xml:space="preserve"> î</w:t>
      </w:r>
      <w:bookmarkStart w:id="0" w:name="_GoBack"/>
      <w:bookmarkEnd w:id="0"/>
      <w:r w:rsidR="002D1354" w:rsidRPr="002D1354"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 xml:space="preserve">n </w:t>
      </w:r>
      <w:proofErr w:type="spellStart"/>
      <w:r w:rsidR="002D1354" w:rsidRPr="002D1354"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>Codul</w:t>
      </w:r>
      <w:proofErr w:type="spellEnd"/>
      <w:r w:rsidR="002D1354" w:rsidRPr="002D1354"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 xml:space="preserve"> </w:t>
      </w:r>
      <w:proofErr w:type="spellStart"/>
      <w:r w:rsidR="002D1354" w:rsidRPr="002D1354">
        <w:rPr>
          <w:rFonts w:ascii="inherit" w:eastAsia="Times New Roman" w:hAnsi="inherit" w:cs="Arial"/>
          <w:b/>
          <w:bCs/>
          <w:color w:val="16528E"/>
          <w:kern w:val="36"/>
          <w:sz w:val="29"/>
          <w:szCs w:val="29"/>
          <w:lang w:val="en-US" w:eastAsia="ru-RU"/>
        </w:rPr>
        <w:t>Muncii</w:t>
      </w:r>
      <w:proofErr w:type="spellEnd"/>
    </w:p>
    <w:p w:rsidR="002D1354" w:rsidRPr="000919BC" w:rsidRDefault="00B42032" w:rsidP="000919BC">
      <w:pPr>
        <w:spacing w:after="0" w:line="240" w:lineRule="auto"/>
        <w:ind w:right="75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o-R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15EB510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Conform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Monitorului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Oficial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din 31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iulie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2020, a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fost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publicată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Legea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nr.115 din 09.07.2020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pentru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modificarea</w:t>
      </w:r>
      <w:proofErr w:type="spellEnd"/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="000919BC">
        <w:rPr>
          <w:rFonts w:ascii="Arial" w:eastAsia="Times New Roman" w:hAnsi="Arial" w:cs="Arial"/>
          <w:color w:val="0000FF"/>
          <w:sz w:val="23"/>
          <w:lang w:val="en-US" w:eastAsia="ru-RU"/>
        </w:rPr>
        <w:fldChar w:fldCharType="begin"/>
      </w:r>
      <w:r w:rsidR="000919BC">
        <w:rPr>
          <w:rFonts w:ascii="Arial" w:eastAsia="Times New Roman" w:hAnsi="Arial" w:cs="Arial"/>
          <w:color w:val="0000FF"/>
          <w:sz w:val="23"/>
          <w:lang w:val="en-US" w:eastAsia="ru-RU"/>
        </w:rPr>
        <w:instrText xml:space="preserve"> HYPERLINK "https://www.legis.md/cautare/getResults?doc_id=121610&amp;lang=ro" \t "_blank" </w:instrText>
      </w:r>
      <w:r w:rsidR="000919BC">
        <w:rPr>
          <w:rFonts w:ascii="Arial" w:eastAsia="Times New Roman" w:hAnsi="Arial" w:cs="Arial"/>
          <w:color w:val="0000FF"/>
          <w:sz w:val="23"/>
          <w:lang w:val="en-US" w:eastAsia="ru-RU"/>
        </w:rPr>
        <w:fldChar w:fldCharType="separate"/>
      </w:r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>Codului</w:t>
      </w:r>
      <w:proofErr w:type="spellEnd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 xml:space="preserve"> </w:t>
      </w:r>
      <w:proofErr w:type="spellStart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>muncii</w:t>
      </w:r>
      <w:proofErr w:type="spellEnd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 xml:space="preserve"> al </w:t>
      </w:r>
      <w:proofErr w:type="spellStart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>Republicii</w:t>
      </w:r>
      <w:proofErr w:type="spellEnd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 xml:space="preserve"> Moldova </w:t>
      </w:r>
      <w:proofErr w:type="spellStart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>nr</w:t>
      </w:r>
      <w:proofErr w:type="spellEnd"/>
      <w:r w:rsidR="002D1354" w:rsidRPr="002D1354">
        <w:rPr>
          <w:rFonts w:ascii="Arial" w:eastAsia="Times New Roman" w:hAnsi="Arial" w:cs="Arial"/>
          <w:color w:val="0000FF"/>
          <w:sz w:val="23"/>
          <w:lang w:val="en-US" w:eastAsia="ru-RU"/>
        </w:rPr>
        <w:t>. 154/2003</w:t>
      </w:r>
      <w:r w:rsidR="000919BC">
        <w:rPr>
          <w:rFonts w:ascii="Arial" w:eastAsia="Times New Roman" w:hAnsi="Arial" w:cs="Arial"/>
          <w:color w:val="0000FF"/>
          <w:sz w:val="23"/>
          <w:lang w:val="en-US" w:eastAsia="ru-RU"/>
        </w:rPr>
        <w:fldChar w:fldCharType="end"/>
      </w:r>
      <w:r w:rsidR="002D1354"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</w:p>
    <w:p w:rsidR="002D1354" w:rsidRPr="002D1354" w:rsidRDefault="002D1354" w:rsidP="002D1354">
      <w:pPr>
        <w:spacing w:after="15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conformitate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Legea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nr.115 din 09.07.2020,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Codul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făcut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următoarele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modificări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: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1.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privire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durata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ajunul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zilelor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sărbătoare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nelucrătoare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s-a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la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unitățile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cu flux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continuu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și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unele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lucrări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regim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neîntrerupt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care nu permit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reducerea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duratei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zilei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(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schimbului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) din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ajunul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zilei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sărbătoare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nelucrătoare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ora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/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orele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care nu pot fi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reduse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se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consideră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suplimentară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2.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privire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noapte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următoarele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prevederi</w:t>
      </w:r>
      <w:proofErr w:type="spellEnd"/>
      <w:proofErr w:type="gram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:</w:t>
      </w:r>
      <w:proofErr w:type="gram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>-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Salariații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care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urmează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fie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transferați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permanentă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noapte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înainte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transfer,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sunt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supuși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examen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medical din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angajatorului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>-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Salariații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cărora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noapte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le </w:t>
      </w:r>
      <w:proofErr w:type="spellStart"/>
      <w:proofErr w:type="gram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este</w:t>
      </w:r>
      <w:proofErr w:type="spellEnd"/>
      <w:proofErr w:type="gram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contraindicată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conform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certificatului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medical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urmează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a fi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transferați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la o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pentru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care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sunt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calificați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cu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respectarea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prevederilor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art. 74</w:t>
      </w: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3. </w:t>
      </w:r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Se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admite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colectiv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individual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proofErr w:type="gram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să</w:t>
      </w:r>
      <w:proofErr w:type="spellEnd"/>
      <w:proofErr w:type="gram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fie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prevăzută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posibilitatea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compensa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orele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suplimentară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cu ore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libere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cu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acordul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scris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al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părților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.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acest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caz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orele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libere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vor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fi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acordate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decurs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30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la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prestarea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suplimentare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4.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privire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pauza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masă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şi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repausul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zilnic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următoarele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prevederi</w:t>
      </w:r>
      <w:proofErr w:type="spellEnd"/>
      <w:proofErr w:type="gram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:</w:t>
      </w:r>
      <w:proofErr w:type="gram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>-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Durata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pauzei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masă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și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momentul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acordării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acesteia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se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stabilesc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regulamentul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intern al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unității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colectiv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individual de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.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Pauzele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gram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de</w:t>
      </w:r>
      <w:proofErr w:type="gram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masă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cu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excepțiile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prevăzute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regulamentul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intern al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unității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colectiv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individual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nu se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includ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timpul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.</w:t>
      </w: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>-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Durata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repausului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zilnic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cuprinsă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între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sfîrşitul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programului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într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-o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şi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începutul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programului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ziua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imediat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următoare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nu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poate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fi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mai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mică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decît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 </w:t>
      </w:r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11 ore consecutive.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5. 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Pentru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perioada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concediului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odihnă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anual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salariatul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beneficiază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o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indemnizaţie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concediu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care nu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poate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fi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mai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mică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decît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mărimea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salariului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mediu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pentru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perioada</w:t>
      </w:r>
      <w:proofErr w:type="spellEnd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b/>
          <w:bCs/>
          <w:i/>
          <w:iCs/>
          <w:color w:val="313131"/>
          <w:sz w:val="23"/>
          <w:lang w:val="en-US" w:eastAsia="ru-RU"/>
        </w:rPr>
        <w:t>respectivă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6.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privire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concediile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pentru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salariaţii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care 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adoptat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copii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nou-născuţi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luat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sub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tutelă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s-a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salariatului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care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intenționează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adopte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un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copil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se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acordă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baza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unei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cereri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scrise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concediu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neplătit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pe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durata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încredințării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copilului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adoptabil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, care nu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va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depăși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90 de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zile</w:t>
      </w:r>
      <w:proofErr w:type="spellEnd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i/>
          <w:iCs/>
          <w:color w:val="313131"/>
          <w:sz w:val="23"/>
          <w:lang w:val="en-US" w:eastAsia="ru-RU"/>
        </w:rPr>
        <w:t>calendaristice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</w:p>
    <w:p w:rsidR="002D1354" w:rsidRPr="002D1354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</w:pP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7.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privire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garanţiile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şi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compensaţiile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acordate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salariaţilor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 care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îmbină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 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studiile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instituţiile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 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învăţămînt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superior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şi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mediu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 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specialitate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următoarele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prevederi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:</w:t>
      </w: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 xml:space="preserve">-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Salariaților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trimiși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către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 </w:t>
      </w:r>
      <w:proofErr w:type="spellStart"/>
      <w:r w:rsidRPr="002D1354">
        <w:rPr>
          <w:rFonts w:ascii="Arial" w:eastAsia="Times New Roman" w:hAnsi="Arial" w:cs="Arial"/>
          <w:color w:val="3C5A98"/>
          <w:sz w:val="23"/>
          <w:szCs w:val="23"/>
          <w:u w:val="single"/>
          <w:lang w:val="en-US" w:eastAsia="ru-RU"/>
        </w:rPr>
        <w:t>angajator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 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programe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studii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acreditate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condițiile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legii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cadrul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învățământului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profesional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tehnic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superior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licență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superior de master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frecvență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redusă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li se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stabilește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durata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redusă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timpului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li se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acordă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concedii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suplimentare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menținerea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integrală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parțială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salariului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mediu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și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alte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înlesniri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modul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stabilit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Guvern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br/>
        <w:t xml:space="preserve">-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Salariaților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care, din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proprie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inițiativă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s-au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înmatriculat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la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programe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studii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acreditate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condițiile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legii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cadrul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învățământului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profesional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tehnic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, superior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licență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superior de master cu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frecvență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redusă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li se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acordă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anumite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garanții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și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compensații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în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modul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prevăzut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contractul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colectiv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sau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cel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 xml:space="preserve"> individual de </w:t>
      </w:r>
      <w:proofErr w:type="spellStart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muncă</w:t>
      </w:r>
      <w:proofErr w:type="spellEnd"/>
      <w:r w:rsidRPr="002D1354">
        <w:rPr>
          <w:rFonts w:ascii="Arial" w:eastAsia="Times New Roman" w:hAnsi="Arial" w:cs="Arial"/>
          <w:color w:val="313131"/>
          <w:sz w:val="23"/>
          <w:szCs w:val="23"/>
          <w:lang w:val="en-US" w:eastAsia="ru-RU"/>
        </w:rPr>
        <w:t>.</w:t>
      </w:r>
    </w:p>
    <w:p w:rsidR="002D1354" w:rsidRPr="00917459" w:rsidRDefault="002D1354" w:rsidP="002D135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</w:pPr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8. Cu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privire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la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garanţiile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în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caz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de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încetare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a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contractului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 individual de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muncă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s-a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stabilit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că</w:t>
      </w:r>
      <w:proofErr w:type="spellEnd"/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 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angajatorul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este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obligat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să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preavizeze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salariatul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,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prin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ordin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 (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dispoziţie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,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decizie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,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hotărîre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), sub </w:t>
      </w:r>
      <w:proofErr w:type="spellStart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>semnătură</w:t>
      </w:r>
      <w:proofErr w:type="spellEnd"/>
      <w:r w:rsidRPr="00917459">
        <w:rPr>
          <w:rFonts w:ascii="Arial" w:eastAsia="Times New Roman" w:hAnsi="Arial" w:cs="Arial"/>
          <w:i/>
          <w:iCs/>
          <w:color w:val="000000" w:themeColor="text1"/>
          <w:sz w:val="23"/>
          <w:lang w:val="en-US" w:eastAsia="ru-RU"/>
        </w:rPr>
        <w:t xml:space="preserve">,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despre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intenţia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sa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de a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desface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contractul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individual de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muncă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încheiat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pe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o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durată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nedeterminată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sau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determinată</w:t>
      </w:r>
      <w:proofErr w:type="spellEnd"/>
      <w:r w:rsidRPr="00917459">
        <w:rPr>
          <w:rFonts w:ascii="Arial" w:eastAsia="Times New Roman" w:hAnsi="Arial" w:cs="Arial"/>
          <w:i/>
          <w:iCs/>
          <w:color w:val="FF0000"/>
          <w:sz w:val="23"/>
          <w:lang w:val="en-US" w:eastAsia="ru-RU"/>
        </w:rPr>
        <w:t>, </w:t>
      </w:r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cu 14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zile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calendaristice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înainte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–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în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caz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de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concediere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din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motivul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deținerii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de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către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 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u w:val="single"/>
          <w:lang w:val="en-US" w:eastAsia="ru-RU"/>
        </w:rPr>
        <w:t>salariat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 a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statutului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de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pensionar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pentru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limită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de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>vârstă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sz w:val="23"/>
          <w:lang w:val="en-US" w:eastAsia="ru-RU"/>
        </w:rPr>
        <w:t xml:space="preserve"> </w:t>
      </w:r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 xml:space="preserve">(art. 86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alin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 xml:space="preserve">. (1) </w:t>
      </w:r>
      <w:proofErr w:type="gramStart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lit</w:t>
      </w:r>
      <w:proofErr w:type="gramEnd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 xml:space="preserve">. y1)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și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 xml:space="preserve"> art. 301 </w:t>
      </w:r>
      <w:proofErr w:type="spellStart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alin</w:t>
      </w:r>
      <w:proofErr w:type="spellEnd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 xml:space="preserve">. (1) </w:t>
      </w:r>
      <w:proofErr w:type="gramStart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lit</w:t>
      </w:r>
      <w:proofErr w:type="gramEnd"/>
      <w:r w:rsidRPr="00917459">
        <w:rPr>
          <w:rFonts w:ascii="Arial" w:eastAsia="Times New Roman" w:hAnsi="Arial" w:cs="Arial"/>
          <w:b/>
          <w:bCs/>
          <w:i/>
          <w:iCs/>
          <w:color w:val="FF0000"/>
          <w:sz w:val="23"/>
          <w:lang w:val="en-US" w:eastAsia="ru-RU"/>
        </w:rPr>
        <w:t>. c))</w:t>
      </w:r>
      <w:r w:rsidRPr="00917459">
        <w:rPr>
          <w:rFonts w:ascii="Arial" w:eastAsia="Times New Roman" w:hAnsi="Arial" w:cs="Arial"/>
          <w:color w:val="FF0000"/>
          <w:sz w:val="23"/>
          <w:szCs w:val="23"/>
          <w:lang w:val="en-US" w:eastAsia="ru-RU"/>
        </w:rPr>
        <w:t>.</w:t>
      </w:r>
    </w:p>
    <w:p w:rsidR="00F22B1F" w:rsidRDefault="00F22B1F"/>
    <w:sectPr w:rsidR="00F22B1F" w:rsidSect="00F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4"/>
    <w:rsid w:val="000577F8"/>
    <w:rsid w:val="000919BC"/>
    <w:rsid w:val="002D1354"/>
    <w:rsid w:val="00461F18"/>
    <w:rsid w:val="005A4189"/>
    <w:rsid w:val="00917459"/>
    <w:rsid w:val="00B42032"/>
    <w:rsid w:val="00CF48C1"/>
    <w:rsid w:val="00F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5DCB-7C10-40A5-BD9D-BD67321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F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2D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2D135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3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D135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l">
    <w:name w:val="cl"/>
    <w:basedOn w:val="Normal"/>
    <w:rsid w:val="002D13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post-ratings">
    <w:name w:val="post-ratings"/>
    <w:basedOn w:val="DefaultParagraphFont"/>
    <w:rsid w:val="002D1354"/>
  </w:style>
  <w:style w:type="character" w:styleId="Strong">
    <w:name w:val="Strong"/>
    <w:basedOn w:val="DefaultParagraphFont"/>
    <w:uiPriority w:val="22"/>
    <w:qFormat/>
    <w:rsid w:val="002D1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3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D13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1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2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1E1E1"/>
                    <w:right w:val="none" w:sz="0" w:space="0" w:color="auto"/>
                  </w:divBdr>
                  <w:divsChild>
                    <w:div w:id="1176771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4</cp:revision>
  <dcterms:created xsi:type="dcterms:W3CDTF">2021-05-28T05:51:00Z</dcterms:created>
  <dcterms:modified xsi:type="dcterms:W3CDTF">2021-05-28T06:12:00Z</dcterms:modified>
</cp:coreProperties>
</file>